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606"/>
          <w:tab w:val="left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bCs/>
          <w:szCs w:val="21"/>
          <w:lang w:eastAsia="zh-CN"/>
        </w:rPr>
        <w:t>组织环境影响补充调查说明</w:t>
      </w:r>
    </w:p>
    <w:p>
      <w:pPr>
        <w:keepNext w:val="0"/>
        <w:keepLines w:val="0"/>
        <w:pageBreakBefore w:val="0"/>
        <w:widowControl w:val="0"/>
        <w:tabs>
          <w:tab w:val="left" w:pos="6606"/>
          <w:tab w:val="left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  <w:t>尊敬的：</w:t>
      </w:r>
      <w:r>
        <w:rPr>
          <w:rFonts w:hint="eastAsia" w:ascii="仿宋_GB2312" w:hAnsi="宋体" w:eastAsia="仿宋_GB2312"/>
          <w:b/>
          <w:bCs/>
          <w:sz w:val="18"/>
          <w:szCs w:val="1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tabs>
          <w:tab w:val="left" w:pos="6606"/>
          <w:tab w:val="left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61" w:firstLineChars="200"/>
        <w:jc w:val="left"/>
        <w:textAlignment w:val="auto"/>
        <w:rPr>
          <w:rFonts w:hint="default" w:ascii="仿宋_GB2312" w:hAnsi="宋体" w:eastAsia="仿宋_GB2312"/>
          <w:b/>
          <w:bCs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  <w:t>根据贵公司目前提供的资料，结合2021版环境影响目录，企业是否需要办理环评的信息内容不太充分，影响后续的认证事宜，敬请贵公司补充填写下表《</w:t>
      </w:r>
      <w:r>
        <w:rPr>
          <w:rFonts w:hint="eastAsia" w:ascii="仿宋_GB2312" w:hAnsi="宋体" w:eastAsia="仿宋_GB2312"/>
          <w:b/>
          <w:bCs/>
          <w:sz w:val="18"/>
          <w:szCs w:val="18"/>
          <w:lang w:eastAsia="zh-CN"/>
        </w:rPr>
        <w:t>组织环境影响补充调查表</w:t>
      </w:r>
      <w:r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  <w:t>》，以消除信息沟通壁垒。</w:t>
      </w:r>
    </w:p>
    <w:tbl>
      <w:tblPr>
        <w:tblStyle w:val="2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组织环境影响补充调查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（企业填写）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  <w:t>适用性范围：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</w:rPr>
              <w:t>EMS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HSE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</w:rPr>
              <w:t>体系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  <w:t>建设单位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</w:rPr>
              <w:t>适用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  <w:t>（建设单位实例：畜牧养殖业、矿产资源开采业、制造业、建设工程业等详见《建设项目环境影响评价分类管理名录》）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企业是否在敏感区域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：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-97152008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-97152008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eastAsia="zh-CN"/>
              </w:rPr>
              <w:t>敏感区例如：国家公园、森林公园、地质公园、海洋公园等、自然保护区、风景名胜区、世界文化和自然遗产地、海洋特别保护区、饮用水水源保护区、永久基本农田、基本草原、重要湿地、天然林，重点保护野生动物栖息地，重点保护野生植物生长繁殖地，重要水生生物的自然产卵场、索饵场、越冬场和洄游通道，天然渔场，水土流失重点预防区和重点治理区、沙化土地封禁保护区、封闭及半封闭海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主要环境影响</w:t>
            </w:r>
          </w:p>
        </w:tc>
        <w:tc>
          <w:tcPr>
            <w:tcW w:w="6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1、是否产生废气: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否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2、是否产生废水: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否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是: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3、是否产生固体废物: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否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 xml:space="preserve">4、是否产生噪声: 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否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企业建设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  <w:t>/生产产污工序为：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6"/>
                <w:szCs w:val="16"/>
                <w:u w:val="none"/>
                <w:lang w:eastAsia="zh-CN"/>
              </w:rPr>
              <w:t>示例：酒生产</w:t>
            </w:r>
            <w:r>
              <w:rPr>
                <w:rFonts w:hint="eastAsia" w:ascii="仿宋_GB2312" w:hAnsi="宋体" w:eastAsia="仿宋_GB2312"/>
                <w:sz w:val="16"/>
                <w:szCs w:val="16"/>
                <w:u w:val="none"/>
                <w:lang w:val="en-US" w:eastAsia="zh-CN"/>
              </w:rPr>
              <w:t xml:space="preserve"> 发酵工序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产品产量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  <w:t>/规模：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6"/>
                <w:szCs w:val="16"/>
                <w:u w:val="none"/>
                <w:lang w:eastAsia="zh-CN"/>
              </w:rPr>
              <w:t>示例：年产</w:t>
            </w:r>
            <w:r>
              <w:rPr>
                <w:rFonts w:hint="eastAsia" w:ascii="仿宋_GB2312" w:hAnsi="宋体" w:eastAsia="仿宋_GB2312"/>
                <w:sz w:val="16"/>
                <w:szCs w:val="16"/>
                <w:u w:val="none"/>
                <w:lang w:val="en-US" w:eastAsia="zh-CN"/>
              </w:rPr>
              <w:t>20万吨、养猪年出栏6000头、汽车维修营业面积6000平米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污染物排放因子：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  <w:t>排放量：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使用涂料类型及年用量：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溶剂型涂料（含稀释剂），年用量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吨    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水性涂料，年用量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粉末涂料，年用量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吨                  </w:t>
            </w:r>
            <w:sdt>
              <w:sdtPr>
                <w:rPr>
                  <w:rFonts w:hint="eastAsia" w:ascii="仿宋_GB2312" w:hAnsi="宋体" w:eastAsia="仿宋_GB2312"/>
                  <w:szCs w:val="21"/>
                </w:rPr>
                <w:id w:val="188522116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_GB2312" w:hAnsi="宋体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仿宋_GB2312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UV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涂料，年用量</w:t>
            </w:r>
            <w:r>
              <w:rPr>
                <w:rFonts w:hint="eastAsia" w:ascii="仿宋_GB2312" w:hAnsi="宋体" w:eastAsia="仿宋_GB2312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1.溶剂型涂料:这种涂料以有机溶剂为主要成分,具有良好的流动性和涂装性能。常见的溶剂型涂料有油漆、清漆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丙烯酸酯涂料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醇酸涂料</w:t>
            </w: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氨基漆和环氧涂料等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2.水性涂料:这种涂料以水为主要溶剂,不含有机溶剂,环保性能较好。常见的水性涂料有水性乳胶漆、水性木器漆等。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3.粉末涂料:这种涂料以固体粉末为主要成分, 通过静电吸附或热熔熔融固化在物体表面形成膜层。常见的粉末涂料有环氧粉末涂料、聚酯粉末涂料等。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4.UV涂料:这种涂料是-种紫外线固化涂料,通过紫外线照射可以迅速固化形成膜层。常见的UV涂料有UV清漆、UV油墨等。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5"/>
                <w:szCs w:val="15"/>
                <w:lang w:val="en-US" w:eastAsia="zh-CN"/>
              </w:rPr>
              <w:t>5、水性涂料、粉末涂料、UV涂料，为非溶剂型涂料。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  <w:lang w:val="en-US" w:eastAsia="zh-CN"/>
              </w:rPr>
              <w:t xml:space="preserve">承诺：我公司，郑重承诺所填写各项内容真实、准确、完整。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法定代表人或者主要负责人签字：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 xml:space="preserve">                                      填写日期：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6"/>
                <w:tab w:val="left" w:pos="8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5421" w:firstLineChars="3000"/>
              <w:jc w:val="left"/>
              <w:textAlignment w:val="auto"/>
              <w:rPr>
                <w:rFonts w:hint="default" w:ascii="宋体" w:hAnsi="宋体" w:eastAsiaTheme="minorEastAsia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eastAsia="zh-CN"/>
              </w:rPr>
              <w:t>（盖公章）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DIxMWZhNTIzMmVhOTMzODFhYjkxZDY1ZWU2YTUifQ=="/>
  </w:docVars>
  <w:rsids>
    <w:rsidRoot w:val="00000000"/>
    <w:rsid w:val="08B576D2"/>
    <w:rsid w:val="144E2788"/>
    <w:rsid w:val="18F97167"/>
    <w:rsid w:val="2AFA28CA"/>
    <w:rsid w:val="39BA6046"/>
    <w:rsid w:val="420E5181"/>
    <w:rsid w:val="4F2E0C11"/>
    <w:rsid w:val="5D6D4FFA"/>
    <w:rsid w:val="715F2A54"/>
    <w:rsid w:val="71AA1F21"/>
    <w:rsid w:val="7A7A74B2"/>
    <w:rsid w:val="7E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2023-10-16T07:15:00Z</dcterms:created>
  <dc:creator>Administrator.JF-20190217XDCZ</dc:creator>
  <cp:lastModifiedBy>蔓迹</cp:lastModifiedBy>
  <dcterms:modified xsi:type="dcterms:W3CDTF">2023-10-16T09:59:00Z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89D81A15FE7D47A8857DC2A46FB9086B_12</vt:lpwstr>
  </property>
</Properties>
</file>